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4620" w:type="dxa"/>
        <w:tblInd w:w="0" w:type="dxa"/>
        <w:tblLayout w:type="autofit"/>
        <w:tblCellMar>
          <w:top w:w="0" w:type="dxa"/>
          <w:left w:w="108" w:type="dxa"/>
          <w:bottom w:w="0" w:type="dxa"/>
          <w:right w:w="108" w:type="dxa"/>
        </w:tblCellMar>
      </w:tblPr>
      <w:tblGrid>
        <w:gridCol w:w="2740"/>
        <w:gridCol w:w="1320"/>
        <w:gridCol w:w="1320"/>
        <w:gridCol w:w="1320"/>
        <w:gridCol w:w="1320"/>
        <w:gridCol w:w="1320"/>
        <w:gridCol w:w="1320"/>
        <w:gridCol w:w="1320"/>
        <w:gridCol w:w="1320"/>
        <w:gridCol w:w="1320"/>
      </w:tblGrid>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4"/>
                <w:szCs w:val="24"/>
              </w:rPr>
            </w:pPr>
            <w:bookmarkStart w:id="0" w:name="_GoBack"/>
            <w:bookmarkEnd w:id="0"/>
            <w:r>
              <w:rPr>
                <w:rFonts w:ascii="Times New Roman" w:hAnsi="Times New Roman" w:eastAsia="Times New Roman" w:cs="Times New Roman"/>
                <w:sz w:val="24"/>
                <w:szCs w:val="24"/>
              </w:rPr>
              <w:t>Hwork Part I- Page1-2</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Homework Part II page 3 </w:t>
            </w: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1939" w:hRule="atLeast"/>
        </w:trPr>
        <w:tc>
          <w:tcPr>
            <w:tcW w:w="13300" w:type="dxa"/>
            <w:gridSpan w:val="9"/>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18"/>
                <w:szCs w:val="18"/>
              </w:rPr>
            </w:pPr>
            <w:r>
              <w:rPr>
                <w:rFonts w:ascii="Calibri" w:hAnsi="Calibri" w:eastAsia="Times New Roman" w:cs="Calibri"/>
                <w:color w:val="000000"/>
                <w:sz w:val="18"/>
                <w:szCs w:val="18"/>
              </w:rPr>
              <w:t>You are an executive in a large healthcare company with five lines of business. There are no economies of scope (this will be discussed in a future module). Those lines of business order services (accounting, information technology, and warehousing) from three "service divisions" of the company. You are given the following information for the revenues, direct costs (e.g., costs of production), and capital (e.g., value of the property, plant, and equipment) associated with these five lines of business, as well as the total variable costs from the three 'internal services' divisions. (You are ignoring fixed corporate overhead costs which will not change with a change in the size of the company.) All dollar amounts are in millions of dollars.</w:t>
            </w:r>
          </w:p>
        </w:tc>
        <w:tc>
          <w:tcPr>
            <w:tcW w:w="13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18"/>
                <w:szCs w:val="18"/>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Business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3</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4</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5</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Revenue (millions)</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$20</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$25</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$10</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$20</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$25</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Total direct costs (millions)</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$15</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$22</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$7</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$18</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$18</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Capital invested (millions)</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$12</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$12</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$12</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$12</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$22</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Service division</w:t>
            </w:r>
          </w:p>
        </w:tc>
        <w:tc>
          <w:tcPr>
            <w:tcW w:w="3960" w:type="dxa"/>
            <w:gridSpan w:val="3"/>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Total variable costs (millions)</w:t>
            </w:r>
          </w:p>
        </w:tc>
        <w:tc>
          <w:tcPr>
            <w:tcW w:w="13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$3</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3</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$5</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1062" w:hRule="atLeast"/>
        </w:trPr>
        <w:tc>
          <w:tcPr>
            <w:tcW w:w="14620" w:type="dxa"/>
            <w:gridSpan w:val="10"/>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rPr>
            </w:pPr>
            <w:r>
              <w:rPr>
                <w:rFonts w:ascii="Calibri" w:hAnsi="Calibri" w:eastAsia="Times New Roman" w:cs="Calibri"/>
                <w:color w:val="000000"/>
              </w:rPr>
              <w:t>For each business, calculate the return on capital, but ignore the indirect costs from the three service divisions. This is calculated as (revenue - total direct costs)/capital invested. You will enter this information, to three decimal places, in Moodle. A return of 12.46 percent would be reported as 0.125.</w:t>
            </w: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2100" w:hRule="atLeast"/>
        </w:trPr>
        <w:tc>
          <w:tcPr>
            <w:tcW w:w="14620" w:type="dxa"/>
            <w:gridSpan w:val="10"/>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16"/>
                <w:szCs w:val="16"/>
              </w:rPr>
            </w:pPr>
            <w:r>
              <w:rPr>
                <w:rFonts w:ascii="Calibri" w:hAnsi="Calibri" w:eastAsia="Times New Roman" w:cs="Calibri"/>
                <w:color w:val="000000"/>
                <w:sz w:val="16"/>
                <w:szCs w:val="16"/>
              </w:rPr>
              <w:t>As an executive in this company you are concerned with the following: (1) the businesses have little incentive to reduce their request for services from the three service divisions; (2) the service divisions are unable to tie their requested budgets to the value of their services; and (3) some of the businesses may have low returns on capital and should be sold off. To initially address these issues you are imposing an internal pricing system, where each of the three service divisions charges the businesses for the services provided. The expected percentage allocation of the variable costs from each to service division to each business are given in the matrix below. Notice that the sum of any allocations from a service division sum to 1.0.</w:t>
            </w: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16"/>
                <w:szCs w:val="16"/>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6600" w:type="dxa"/>
            <w:gridSpan w:val="5"/>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Allocation share to each business from each service division</w:t>
            </w:r>
          </w:p>
        </w:tc>
        <w:tc>
          <w:tcPr>
            <w:tcW w:w="13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Service division</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3</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4</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5</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0.10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0.15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0.20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0.25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0.30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0.25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0.20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0.15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0.10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0.30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3</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0.30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0.20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0.15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0.10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            0.25 </w:t>
            </w:r>
          </w:p>
        </w:tc>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642" w:hRule="atLeast"/>
        </w:trPr>
        <w:tc>
          <w:tcPr>
            <w:tcW w:w="14620" w:type="dxa"/>
            <w:gridSpan w:val="10"/>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Use this information to allocate the service divsions' variable costs to the five businesses. Recalculate the return on capital for each of the five businesses. You will enter this information, to three decimal places, in Moodle.</w:t>
            </w:r>
          </w:p>
        </w:tc>
      </w:tr>
      <w:tr>
        <w:tblPrEx>
          <w:tblCellMar>
            <w:top w:w="0" w:type="dxa"/>
            <w:left w:w="108" w:type="dxa"/>
            <w:bottom w:w="0" w:type="dxa"/>
            <w:right w:w="108" w:type="dxa"/>
          </w:tblCellMar>
        </w:tblPrEx>
        <w:trPr>
          <w:trHeight w:val="315" w:hRule="atLeast"/>
        </w:trPr>
        <w:tc>
          <w:tcPr>
            <w:tcW w:w="274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619" w:hRule="atLeast"/>
        </w:trPr>
        <w:tc>
          <w:tcPr>
            <w:tcW w:w="14620" w:type="dxa"/>
            <w:gridSpan w:val="10"/>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Suppose that the market rate of return for similarly risky investments is 14 percent. If you took the approach of Goizueta at Coca-Cola, which businesses should be sold?</w:t>
            </w:r>
          </w:p>
        </w:tc>
      </w:tr>
    </w:tbl>
    <w:p/>
    <w:p/>
    <w:p/>
    <w:p/>
    <w:p/>
    <w:p/>
    <w:p/>
    <w:p/>
    <w:p>
      <w:pPr>
        <w:rPr>
          <w:b/>
          <w:bCs/>
        </w:rPr>
      </w:pPr>
      <w:r>
        <w:rPr>
          <w:b/>
          <w:bCs/>
        </w:rPr>
        <w:t xml:space="preserve">Homework Part II Different </w:t>
      </w:r>
    </w:p>
    <w:p/>
    <w:tbl>
      <w:tblPr>
        <w:tblStyle w:val="5"/>
        <w:tblW w:w="12680" w:type="dxa"/>
        <w:tblInd w:w="0" w:type="dxa"/>
        <w:tblLayout w:type="autofit"/>
        <w:tblCellMar>
          <w:top w:w="0" w:type="dxa"/>
          <w:left w:w="108" w:type="dxa"/>
          <w:bottom w:w="0" w:type="dxa"/>
          <w:right w:w="108" w:type="dxa"/>
        </w:tblCellMar>
      </w:tblPr>
      <w:tblGrid>
        <w:gridCol w:w="1320"/>
        <w:gridCol w:w="4880"/>
        <w:gridCol w:w="2160"/>
        <w:gridCol w:w="2160"/>
        <w:gridCol w:w="2160"/>
      </w:tblGrid>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4"/>
                <w:szCs w:val="24"/>
              </w:rPr>
            </w:pPr>
          </w:p>
        </w:tc>
        <w:tc>
          <w:tcPr>
            <w:tcW w:w="488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7040" w:type="dxa"/>
            <w:gridSpan w:val="2"/>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You are given the following information for a healthcare company:</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line #</w:t>
            </w:r>
          </w:p>
        </w:tc>
        <w:tc>
          <w:tcPr>
            <w:tcW w:w="488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w:t>
            </w:r>
          </w:p>
        </w:tc>
        <w:tc>
          <w:tcPr>
            <w:tcW w:w="488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Total revenue</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xml:space="preserve">               24,000,000 </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w:t>
            </w:r>
          </w:p>
        </w:tc>
        <w:tc>
          <w:tcPr>
            <w:tcW w:w="4880" w:type="dxa"/>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Total non-capital costs</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xml:space="preserve">               16,800,000 </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630"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3</w:t>
            </w:r>
          </w:p>
        </w:tc>
        <w:tc>
          <w:tcPr>
            <w:tcW w:w="4880" w:type="dxa"/>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Capital equipment purchase price and original market value</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xml:space="preserve">               12,000,000 </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630"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4</w:t>
            </w:r>
          </w:p>
        </w:tc>
        <w:tc>
          <w:tcPr>
            <w:tcW w:w="4880" w:type="dxa"/>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Equipment salvage value, as percent of purchase price</w:t>
            </w:r>
          </w:p>
        </w:tc>
        <w:tc>
          <w:tcPr>
            <w:tcW w:w="2160" w:type="dxa"/>
            <w:tcBorders>
              <w:top w:val="nil"/>
              <w:left w:val="nil"/>
              <w:bottom w:val="nil"/>
              <w:right w:val="nil"/>
            </w:tcBorders>
            <w:shd w:val="clear" w:color="auto" w:fill="auto"/>
            <w:noWrap/>
            <w:vAlign w:val="bottom"/>
          </w:tcPr>
          <w:p>
            <w:pPr>
              <w:spacing w:after="0" w:line="240" w:lineRule="auto"/>
              <w:jc w:val="right"/>
              <w:rPr>
                <w:rFonts w:ascii="Calibri" w:hAnsi="Calibri" w:eastAsia="Times New Roman" w:cs="Calibri"/>
                <w:color w:val="000000"/>
                <w:sz w:val="24"/>
                <w:szCs w:val="24"/>
              </w:rPr>
            </w:pPr>
            <w:r>
              <w:rPr>
                <w:rFonts w:ascii="Calibri" w:hAnsi="Calibri" w:eastAsia="Times New Roman" w:cs="Calibri"/>
                <w:color w:val="000000"/>
                <w:sz w:val="24"/>
                <w:szCs w:val="24"/>
              </w:rPr>
              <w:t>4%</w:t>
            </w:r>
          </w:p>
        </w:tc>
        <w:tc>
          <w:tcPr>
            <w:tcW w:w="2160" w:type="dxa"/>
            <w:tcBorders>
              <w:top w:val="nil"/>
              <w:left w:val="nil"/>
              <w:bottom w:val="nil"/>
              <w:right w:val="nil"/>
            </w:tcBorders>
            <w:shd w:val="clear" w:color="auto" w:fill="auto"/>
            <w:noWrap/>
            <w:vAlign w:val="bottom"/>
          </w:tcPr>
          <w:p>
            <w:pPr>
              <w:spacing w:after="0" w:line="240" w:lineRule="auto"/>
              <w:jc w:val="right"/>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5</w:t>
            </w:r>
          </w:p>
        </w:tc>
        <w:tc>
          <w:tcPr>
            <w:tcW w:w="4880" w:type="dxa"/>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Depreciable life of the capital equipment, years</w:t>
            </w:r>
          </w:p>
        </w:tc>
        <w:tc>
          <w:tcPr>
            <w:tcW w:w="2160" w:type="dxa"/>
            <w:tcBorders>
              <w:top w:val="nil"/>
              <w:left w:val="nil"/>
              <w:bottom w:val="nil"/>
              <w:right w:val="nil"/>
            </w:tcBorders>
            <w:shd w:val="clear" w:color="auto" w:fill="auto"/>
            <w:noWrap/>
            <w:vAlign w:val="bottom"/>
          </w:tcPr>
          <w:p>
            <w:pPr>
              <w:spacing w:after="0" w:line="240" w:lineRule="auto"/>
              <w:jc w:val="right"/>
              <w:rPr>
                <w:rFonts w:ascii="Calibri" w:hAnsi="Calibri" w:eastAsia="Times New Roman" w:cs="Calibri"/>
                <w:color w:val="000000"/>
                <w:sz w:val="24"/>
                <w:szCs w:val="24"/>
              </w:rPr>
            </w:pPr>
            <w:r>
              <w:rPr>
                <w:rFonts w:ascii="Calibri" w:hAnsi="Calibri" w:eastAsia="Times New Roman" w:cs="Calibri"/>
                <w:color w:val="000000"/>
                <w:sz w:val="24"/>
                <w:szCs w:val="24"/>
              </w:rPr>
              <w:t>13</w:t>
            </w:r>
          </w:p>
        </w:tc>
        <w:tc>
          <w:tcPr>
            <w:tcW w:w="2160" w:type="dxa"/>
            <w:tcBorders>
              <w:top w:val="nil"/>
              <w:left w:val="nil"/>
              <w:bottom w:val="nil"/>
              <w:right w:val="nil"/>
            </w:tcBorders>
            <w:shd w:val="clear" w:color="auto" w:fill="auto"/>
            <w:noWrap/>
            <w:vAlign w:val="bottom"/>
          </w:tcPr>
          <w:p>
            <w:pPr>
              <w:spacing w:after="0" w:line="240" w:lineRule="auto"/>
              <w:jc w:val="right"/>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630"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6</w:t>
            </w:r>
          </w:p>
        </w:tc>
        <w:tc>
          <w:tcPr>
            <w:tcW w:w="4880" w:type="dxa"/>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Annual return on capital invested in a similarly risky investment</w:t>
            </w:r>
          </w:p>
        </w:tc>
        <w:tc>
          <w:tcPr>
            <w:tcW w:w="2160" w:type="dxa"/>
            <w:tcBorders>
              <w:top w:val="nil"/>
              <w:left w:val="nil"/>
              <w:bottom w:val="nil"/>
              <w:right w:val="nil"/>
            </w:tcBorders>
            <w:shd w:val="clear" w:color="auto" w:fill="auto"/>
            <w:noWrap/>
            <w:vAlign w:val="bottom"/>
          </w:tcPr>
          <w:p>
            <w:pPr>
              <w:spacing w:after="0" w:line="240" w:lineRule="auto"/>
              <w:jc w:val="right"/>
              <w:rPr>
                <w:rFonts w:ascii="Calibri" w:hAnsi="Calibri" w:eastAsia="Times New Roman" w:cs="Calibri"/>
                <w:color w:val="000000"/>
                <w:sz w:val="24"/>
                <w:szCs w:val="24"/>
              </w:rPr>
            </w:pPr>
            <w:r>
              <w:rPr>
                <w:rFonts w:ascii="Calibri" w:hAnsi="Calibri" w:eastAsia="Times New Roman" w:cs="Calibri"/>
                <w:color w:val="000000"/>
                <w:sz w:val="24"/>
                <w:szCs w:val="24"/>
              </w:rPr>
              <w:t>16%</w:t>
            </w:r>
          </w:p>
        </w:tc>
        <w:tc>
          <w:tcPr>
            <w:tcW w:w="2160" w:type="dxa"/>
            <w:tcBorders>
              <w:top w:val="nil"/>
              <w:left w:val="nil"/>
              <w:bottom w:val="nil"/>
              <w:right w:val="nil"/>
            </w:tcBorders>
            <w:shd w:val="clear" w:color="auto" w:fill="auto"/>
            <w:noWrap/>
            <w:vAlign w:val="bottom"/>
          </w:tcPr>
          <w:p>
            <w:pPr>
              <w:spacing w:after="0" w:line="240" w:lineRule="auto"/>
              <w:jc w:val="right"/>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488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1080"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7</w:t>
            </w:r>
          </w:p>
        </w:tc>
        <w:tc>
          <w:tcPr>
            <w:tcW w:w="11360" w:type="dxa"/>
            <w:gridSpan w:val="4"/>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1. Assuming that the tax laws require accountants to use a 10-year straight-line depreciation of the original purchase price net of the salvage value (e.g., a $10,000 piece of equipment with a salvage value of $1,000 would have annual depreciation of ($10,000 - $1,000)/10 = $900), calculate the annual accounting profits.</w:t>
            </w: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488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720"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8</w:t>
            </w:r>
          </w:p>
        </w:tc>
        <w:tc>
          <w:tcPr>
            <w:tcW w:w="11360" w:type="dxa"/>
            <w:gridSpan w:val="4"/>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2. Calculate the economic profits using the average annual opportunity cost of the capital. See ML203's third example for guidance.</w:t>
            </w: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488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bl>
    <w:p/>
    <w:p/>
    <w:sectPr>
      <w:headerReference r:id="rId5" w:type="first"/>
      <w:footerReference r:id="rId8" w:type="first"/>
      <w:headerReference r:id="rId3" w:type="default"/>
      <w:footerReference r:id="rId6" w:type="default"/>
      <w:headerReference r:id="rId4" w:type="even"/>
      <w:footerReference r:id="rId7" w:type="even"/>
      <w:pgSz w:w="15840" w:h="12240" w:orient="landscape"/>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4028913"/>
      <w:docPartObj>
        <w:docPartGallery w:val="AutoText"/>
      </w:docPartObj>
    </w:sdtPr>
    <w:sdtContent>
      <w:p>
        <w:pPr>
          <w:pStyle w:val="2"/>
          <w:jc w:val="center"/>
        </w:pPr>
        <w:r>
          <w:fldChar w:fldCharType="begin"/>
        </w:r>
        <w:r>
          <w:instrText xml:space="preserve"> PAGE   \* MERGEFORMAT </w:instrText>
        </w:r>
        <w:r>
          <w:fldChar w:fldCharType="separate"/>
        </w:r>
        <w:r>
          <w:t>2</w:t>
        </w:r>
        <w:r>
          <w:fldChar w:fldCharType="end"/>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229"/>
    <w:rsid w:val="004E2229"/>
    <w:rsid w:val="00E51F7E"/>
    <w:rsid w:val="303918E9"/>
    <w:rsid w:val="423E5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iPriority="99"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89FE4563437745BDFD2E6BF0BE1C15" ma:contentTypeVersion="13" ma:contentTypeDescription="Create a new document." ma:contentTypeScope="" ma:versionID="1e18bbbe2574445dac87ff872c549b98">
  <xsd:schema xmlns:xsd="http://www.w3.org/2001/XMLSchema" xmlns:xs="http://www.w3.org/2001/XMLSchema" xmlns:p="http://schemas.microsoft.com/office/2006/metadata/properties" xmlns:ns3="f0935e36-6073-4227-bbd5-573ade2f8635" xmlns:ns4="dfe69f80-35d6-4171-9fd5-3b77d24ce086" targetNamespace="http://schemas.microsoft.com/office/2006/metadata/properties" ma:root="true" ma:fieldsID="d3ada62a9ec181da91e04e713dadbb5e" ns3:_="" ns4:_="">
    <xsd:import namespace="f0935e36-6073-4227-bbd5-573ade2f8635"/>
    <xsd:import namespace="dfe69f80-35d6-4171-9fd5-3b77d24ce08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Location" minOccurs="0"/>
                <xsd:element ref="ns4:MediaServiceGenerationTime" minOccurs="0"/>
                <xsd:element ref="ns4:MediaServiceEventHashCode"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935e36-6073-4227-bbd5-573ade2f863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e69f80-35d6-4171-9fd5-3b77d24ce0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F1E6E7-9555-41D0-9EF3-C78CAA13F13F}">
  <ds:schemaRefs/>
</ds:datastoreItem>
</file>

<file path=customXml/itemProps3.xml><?xml version="1.0" encoding="utf-8"?>
<ds:datastoreItem xmlns:ds="http://schemas.openxmlformats.org/officeDocument/2006/customXml" ds:itemID="{1D053495-871D-4C81-B5AE-A344469CAC26}">
  <ds:schemaRefs/>
</ds:datastoreItem>
</file>

<file path=customXml/itemProps4.xml><?xml version="1.0" encoding="utf-8"?>
<ds:datastoreItem xmlns:ds="http://schemas.openxmlformats.org/officeDocument/2006/customXml" ds:itemID="{5CEE2F76-55AE-4A36-BED7-230846BAE925}">
  <ds:schemaRefs/>
</ds:datastoreItem>
</file>

<file path=docProps/app.xml><?xml version="1.0" encoding="utf-8"?>
<Properties xmlns="http://schemas.openxmlformats.org/officeDocument/2006/extended-properties" xmlns:vt="http://schemas.openxmlformats.org/officeDocument/2006/docPropsVTypes">
  <Template>Normal</Template>
  <Pages>3</Pages>
  <Words>599</Words>
  <Characters>3420</Characters>
  <Lines>28</Lines>
  <Paragraphs>8</Paragraphs>
  <TotalTime>13</TotalTime>
  <ScaleCrop>false</ScaleCrop>
  <LinksUpToDate>false</LinksUpToDate>
  <CharactersWithSpaces>4011</CharactersWithSpaces>
  <Application>WPS Office_11.2.0.9363_F1E327BC-269C-435d-A152-05C5408002CA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2020-05-22T11:56:00Z</dcterms:created>
  <dc:creator>Jaime Mejias</dc:creator>
  <cp:lastModifiedBy>kanto</cp:lastModifiedBy>
  <dcterms:modified xsi:type="dcterms:W3CDTF">2020-05-22T12:30:54Z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0x010100E289FE4563437745BDFD2E6BF0BE1C15</vt:lpwstr>
  </property>
  <property fmtid="{D5CDD505-2E9C-101B-9397-08002B2CF9AE}" pid="3" name="KSOProductBuildVer">
    <vt:lpwstr>1033-11.2.0.9363</vt:lpwstr>
  </property>
</Properties>
</file>